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556F1">
      <w:pPr>
        <w:spacing w:line="440" w:lineRule="exact"/>
        <w:jc w:val="center"/>
        <w:rPr>
          <w:rFonts w:hint="eastAsia" w:eastAsia="方正小标宋简体" w:cs="方正仿宋简体"/>
          <w:color w:val="000000"/>
          <w:sz w:val="32"/>
          <w:szCs w:val="32"/>
        </w:rPr>
      </w:pPr>
      <w:r>
        <w:rPr>
          <w:rFonts w:hint="eastAsia" w:ascii="方正小标宋简体" w:hAnsi="方正小标宋简体" w:eastAsia="方正小标宋简体" w:cs="方正小标宋简体"/>
          <w:sz w:val="32"/>
          <w:szCs w:val="32"/>
        </w:rPr>
        <w:t>新乡市民用天然气产品质量监督抽查实施细则</w:t>
      </w:r>
    </w:p>
    <w:p w14:paraId="2ACF5807">
      <w:pPr>
        <w:snapToGrid w:val="0"/>
        <w:spacing w:line="560" w:lineRule="exact"/>
        <w:jc w:val="center"/>
        <w:rPr>
          <w:rFonts w:ascii="方正小标宋简体" w:hAnsi="方正小标宋简体" w:eastAsia="方正小标宋简体" w:cs="方正小标宋简体"/>
          <w:sz w:val="32"/>
          <w:szCs w:val="32"/>
        </w:rPr>
      </w:pPr>
      <w:r>
        <w:rPr>
          <w:rFonts w:hint="eastAsia" w:eastAsia="方正小标宋简体" w:cs="方正仿宋简体"/>
          <w:color w:val="000000"/>
          <w:sz w:val="32"/>
          <w:szCs w:val="32"/>
        </w:rPr>
        <w:t>（202</w:t>
      </w:r>
      <w:r>
        <w:rPr>
          <w:rFonts w:hint="eastAsia" w:eastAsia="方正小标宋简体" w:cs="方正仿宋简体"/>
          <w:color w:val="000000"/>
          <w:sz w:val="32"/>
          <w:szCs w:val="32"/>
          <w:lang w:val="en-US" w:eastAsia="zh-CN"/>
        </w:rPr>
        <w:t>5</w:t>
      </w:r>
      <w:bookmarkStart w:id="0" w:name="_GoBack"/>
      <w:bookmarkEnd w:id="0"/>
      <w:r>
        <w:rPr>
          <w:rFonts w:hint="eastAsia" w:eastAsia="方正小标宋简体" w:cs="方正仿宋简体"/>
          <w:color w:val="000000"/>
          <w:sz w:val="32"/>
          <w:szCs w:val="32"/>
        </w:rPr>
        <w:t>年版）</w:t>
      </w:r>
    </w:p>
    <w:p w14:paraId="1AEDAFE3">
      <w:pPr>
        <w:spacing w:line="560" w:lineRule="exact"/>
        <w:rPr>
          <w:rFonts w:ascii="仿宋_GB2312" w:hAnsi="方正仿宋_GBK" w:eastAsia="仿宋_GB2312" w:cs="方正仿宋_GBK"/>
          <w:sz w:val="28"/>
          <w:szCs w:val="28"/>
        </w:rPr>
      </w:pPr>
    </w:p>
    <w:p w14:paraId="0518320E">
      <w:pPr>
        <w:spacing w:line="560" w:lineRule="exact"/>
        <w:ind w:firstLine="560" w:firstLineChars="200"/>
        <w:rPr>
          <w:rFonts w:ascii="仿宋_GB2312" w:hAnsi="宋体" w:eastAsia="仿宋_GB2312"/>
          <w:sz w:val="28"/>
          <w:szCs w:val="28"/>
        </w:rPr>
      </w:pPr>
      <w:r>
        <w:rPr>
          <w:rFonts w:hint="eastAsia" w:ascii="仿宋_GB2312" w:hAnsi="方正仿宋_GBK" w:eastAsia="仿宋_GB2312" w:cs="方正仿宋_GBK"/>
          <w:sz w:val="28"/>
          <w:szCs w:val="28"/>
        </w:rPr>
        <w:t>本细则适用新乡市市场监督管理局组织的民用天然气产品质量监督抽查。本细则规定了此产品的抽样方法、检验依据、检验项目、检验方法、判定原则等。</w:t>
      </w:r>
    </w:p>
    <w:p w14:paraId="22E4CA68">
      <w:pPr>
        <w:adjustRightInd w:val="0"/>
        <w:snapToGrid w:val="0"/>
        <w:spacing w:line="560" w:lineRule="exact"/>
        <w:ind w:firstLine="560" w:firstLineChars="200"/>
        <w:rPr>
          <w:rFonts w:ascii="黑体" w:hAnsi="黑体" w:eastAsia="黑体"/>
          <w:sz w:val="28"/>
          <w:szCs w:val="28"/>
        </w:rPr>
      </w:pPr>
      <w:r>
        <w:rPr>
          <w:rFonts w:ascii="黑体" w:hAnsi="黑体" w:eastAsia="黑体"/>
          <w:sz w:val="28"/>
          <w:szCs w:val="28"/>
        </w:rPr>
        <w:t>1</w:t>
      </w:r>
      <w:r>
        <w:rPr>
          <w:rFonts w:hint="eastAsia" w:ascii="黑体" w:hAnsi="黑体" w:eastAsia="黑体"/>
          <w:sz w:val="28"/>
          <w:szCs w:val="28"/>
        </w:rPr>
        <w:t xml:space="preserve"> 抽样方法</w:t>
      </w:r>
    </w:p>
    <w:p w14:paraId="6645D797">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民用天然气监督抽查的抽样方法、数量应严格执行GB/T 13609-2012《天然气取样导则》。</w:t>
      </w:r>
    </w:p>
    <w:p w14:paraId="3CB91DB5">
      <w:pPr>
        <w:adjustRightInd w:val="0"/>
        <w:snapToGrid w:val="0"/>
        <w:spacing w:before="50" w:line="560" w:lineRule="exact"/>
        <w:ind w:firstLine="560" w:firstLineChars="200"/>
        <w:rPr>
          <w:rFonts w:ascii="仿宋_GB2312" w:eastAsia="仿宋_GB2312"/>
          <w:sz w:val="28"/>
          <w:szCs w:val="28"/>
        </w:rPr>
      </w:pPr>
      <w:r>
        <w:rPr>
          <w:rFonts w:hint="eastAsia" w:ascii="仿宋_GB2312" w:eastAsia="仿宋_GB2312"/>
          <w:sz w:val="28"/>
          <w:szCs w:val="28"/>
        </w:rPr>
        <w:t>负责取样的部门和人员应确知能在有关的安全规定之内完成取样。执行取样和安装取样设备的人员应经过必要的培训，使之能够估计出潜在的危险。以上人员应有权制止不适当的或不安全的取样或取样设备的安装。</w:t>
      </w:r>
    </w:p>
    <w:p w14:paraId="2C429107">
      <w:pPr>
        <w:pStyle w:val="28"/>
        <w:widowControl w:val="0"/>
        <w:tabs>
          <w:tab w:val="clear" w:pos="840"/>
        </w:tabs>
        <w:spacing w:beforeLines="50" w:afterLines="50" w:line="560" w:lineRule="exact"/>
        <w:ind w:firstLine="198"/>
        <w:jc w:val="center"/>
        <w:rPr>
          <w:rFonts w:ascii="仿宋_GB2312" w:eastAsia="仿宋_GB2312"/>
          <w:b/>
          <w:bCs/>
          <w:sz w:val="28"/>
          <w:szCs w:val="28"/>
        </w:rPr>
      </w:pPr>
      <w:r>
        <w:rPr>
          <w:rFonts w:hint="eastAsia" w:ascii="仿宋_GB2312" w:eastAsia="仿宋_GB2312"/>
          <w:b/>
          <w:bCs/>
          <w:sz w:val="28"/>
          <w:szCs w:val="28"/>
        </w:rPr>
        <w:t>表1 抽取样品数量</w:t>
      </w:r>
    </w:p>
    <w:tbl>
      <w:tblPr>
        <w:tblStyle w:val="13"/>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980"/>
        <w:gridCol w:w="1755"/>
        <w:gridCol w:w="2055"/>
        <w:gridCol w:w="2042"/>
      </w:tblGrid>
      <w:tr w14:paraId="6BE4C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vAlign w:val="center"/>
          </w:tcPr>
          <w:p w14:paraId="0D7EA4B8">
            <w:pPr>
              <w:spacing w:before="50" w:after="50"/>
              <w:jc w:val="center"/>
              <w:rPr>
                <w:rFonts w:ascii="仿宋_GB2312" w:eastAsia="仿宋_GB2312"/>
                <w:bCs/>
                <w:kern w:val="0"/>
                <w:sz w:val="22"/>
                <w:szCs w:val="28"/>
              </w:rPr>
            </w:pPr>
            <w:r>
              <w:rPr>
                <w:rFonts w:hint="eastAsia" w:ascii="仿宋_GB2312" w:eastAsia="仿宋_GB2312"/>
                <w:bCs/>
                <w:kern w:val="0"/>
                <w:sz w:val="22"/>
                <w:szCs w:val="28"/>
              </w:rPr>
              <w:t>序号</w:t>
            </w:r>
          </w:p>
        </w:tc>
        <w:tc>
          <w:tcPr>
            <w:tcW w:w="1980" w:type="dxa"/>
            <w:vAlign w:val="center"/>
          </w:tcPr>
          <w:p w14:paraId="71734253">
            <w:pPr>
              <w:spacing w:before="50" w:after="50"/>
              <w:jc w:val="center"/>
              <w:rPr>
                <w:rFonts w:ascii="仿宋_GB2312" w:eastAsia="仿宋_GB2312"/>
                <w:bCs/>
                <w:kern w:val="0"/>
                <w:sz w:val="22"/>
                <w:szCs w:val="28"/>
              </w:rPr>
            </w:pPr>
            <w:r>
              <w:rPr>
                <w:rFonts w:hint="eastAsia" w:ascii="仿宋_GB2312" w:eastAsia="仿宋_GB2312"/>
                <w:bCs/>
                <w:kern w:val="0"/>
                <w:sz w:val="22"/>
                <w:szCs w:val="28"/>
              </w:rPr>
              <w:t>产品种类</w:t>
            </w:r>
          </w:p>
        </w:tc>
        <w:tc>
          <w:tcPr>
            <w:tcW w:w="1755" w:type="dxa"/>
            <w:vAlign w:val="center"/>
          </w:tcPr>
          <w:p w14:paraId="7F1206F5">
            <w:pPr>
              <w:spacing w:before="50" w:after="50"/>
              <w:jc w:val="center"/>
              <w:rPr>
                <w:rFonts w:ascii="仿宋_GB2312" w:eastAsia="仿宋_GB2312"/>
                <w:bCs/>
                <w:kern w:val="0"/>
                <w:sz w:val="22"/>
                <w:szCs w:val="28"/>
              </w:rPr>
            </w:pPr>
            <w:r>
              <w:rPr>
                <w:rFonts w:hint="eastAsia" w:ascii="仿宋_GB2312" w:eastAsia="仿宋_GB2312"/>
                <w:bCs/>
                <w:kern w:val="0"/>
                <w:sz w:val="22"/>
                <w:szCs w:val="28"/>
              </w:rPr>
              <w:t>抽样数量（L）</w:t>
            </w:r>
          </w:p>
        </w:tc>
        <w:tc>
          <w:tcPr>
            <w:tcW w:w="2055" w:type="dxa"/>
            <w:vAlign w:val="center"/>
          </w:tcPr>
          <w:p w14:paraId="43EB8840">
            <w:pPr>
              <w:spacing w:before="50" w:after="50"/>
              <w:jc w:val="center"/>
              <w:rPr>
                <w:rFonts w:ascii="仿宋_GB2312" w:eastAsia="仿宋_GB2312"/>
                <w:bCs/>
                <w:kern w:val="0"/>
                <w:sz w:val="22"/>
                <w:szCs w:val="28"/>
              </w:rPr>
            </w:pPr>
            <w:r>
              <w:rPr>
                <w:rFonts w:hint="eastAsia" w:ascii="仿宋_GB2312" w:eastAsia="仿宋_GB2312"/>
                <w:sz w:val="22"/>
                <w:szCs w:val="28"/>
              </w:rPr>
              <w:t>检验样品数量</w:t>
            </w:r>
            <w:r>
              <w:rPr>
                <w:rFonts w:hint="eastAsia" w:ascii="仿宋_GB2312" w:eastAsia="仿宋_GB2312"/>
                <w:bCs/>
                <w:kern w:val="0"/>
                <w:sz w:val="22"/>
                <w:szCs w:val="28"/>
              </w:rPr>
              <w:t>（L）</w:t>
            </w:r>
          </w:p>
        </w:tc>
        <w:tc>
          <w:tcPr>
            <w:tcW w:w="2042" w:type="dxa"/>
            <w:vAlign w:val="center"/>
          </w:tcPr>
          <w:p w14:paraId="45DEAB3E">
            <w:pPr>
              <w:spacing w:before="50" w:after="50"/>
              <w:jc w:val="center"/>
              <w:rPr>
                <w:rFonts w:ascii="仿宋_GB2312" w:eastAsia="仿宋_GB2312"/>
                <w:bCs/>
                <w:kern w:val="0"/>
                <w:sz w:val="22"/>
                <w:szCs w:val="28"/>
              </w:rPr>
            </w:pPr>
            <w:r>
              <w:rPr>
                <w:rFonts w:hint="eastAsia" w:ascii="仿宋_GB2312" w:eastAsia="仿宋_GB2312"/>
                <w:sz w:val="22"/>
                <w:szCs w:val="28"/>
              </w:rPr>
              <w:t>备用样品数量</w:t>
            </w:r>
            <w:r>
              <w:rPr>
                <w:rFonts w:hint="eastAsia" w:ascii="仿宋_GB2312" w:eastAsia="仿宋_GB2312"/>
                <w:bCs/>
                <w:kern w:val="0"/>
                <w:sz w:val="22"/>
                <w:szCs w:val="28"/>
              </w:rPr>
              <w:t>（L）</w:t>
            </w:r>
          </w:p>
        </w:tc>
      </w:tr>
      <w:tr w14:paraId="00B71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98" w:type="dxa"/>
            <w:vAlign w:val="center"/>
          </w:tcPr>
          <w:p w14:paraId="21BE9923">
            <w:pPr>
              <w:adjustRightInd w:val="0"/>
              <w:spacing w:before="50" w:after="50"/>
              <w:jc w:val="center"/>
              <w:rPr>
                <w:rFonts w:ascii="仿宋_GB2312" w:eastAsia="仿宋_GB2312"/>
                <w:sz w:val="22"/>
                <w:szCs w:val="28"/>
              </w:rPr>
            </w:pPr>
            <w:r>
              <w:rPr>
                <w:rFonts w:hint="eastAsia" w:ascii="仿宋_GB2312" w:eastAsia="仿宋_GB2312"/>
                <w:sz w:val="22"/>
                <w:szCs w:val="28"/>
              </w:rPr>
              <w:t>1</w:t>
            </w:r>
          </w:p>
        </w:tc>
        <w:tc>
          <w:tcPr>
            <w:tcW w:w="1980" w:type="dxa"/>
            <w:vAlign w:val="center"/>
          </w:tcPr>
          <w:p w14:paraId="559DFA24">
            <w:pPr>
              <w:adjustRightInd w:val="0"/>
              <w:spacing w:before="50" w:after="50"/>
              <w:jc w:val="center"/>
              <w:rPr>
                <w:rFonts w:ascii="仿宋_GB2312" w:eastAsia="仿宋_GB2312"/>
                <w:kern w:val="0"/>
                <w:sz w:val="22"/>
                <w:szCs w:val="28"/>
              </w:rPr>
            </w:pPr>
            <w:r>
              <w:rPr>
                <w:rFonts w:hint="eastAsia" w:ascii="仿宋_GB2312" w:eastAsia="仿宋_GB2312"/>
                <w:bCs/>
                <w:kern w:val="0"/>
                <w:sz w:val="22"/>
                <w:szCs w:val="28"/>
              </w:rPr>
              <w:t>民用天然气</w:t>
            </w:r>
          </w:p>
        </w:tc>
        <w:tc>
          <w:tcPr>
            <w:tcW w:w="1755" w:type="dxa"/>
            <w:vAlign w:val="center"/>
          </w:tcPr>
          <w:p w14:paraId="70D9705D">
            <w:pPr>
              <w:spacing w:before="50" w:after="50"/>
              <w:jc w:val="center"/>
              <w:rPr>
                <w:rFonts w:ascii="仿宋_GB2312" w:eastAsia="仿宋_GB2312"/>
                <w:kern w:val="0"/>
                <w:sz w:val="22"/>
                <w:szCs w:val="28"/>
              </w:rPr>
            </w:pPr>
            <w:r>
              <w:rPr>
                <w:rFonts w:hint="eastAsia" w:ascii="仿宋_GB2312" w:eastAsia="仿宋_GB2312"/>
                <w:kern w:val="0"/>
                <w:sz w:val="22"/>
                <w:szCs w:val="28"/>
              </w:rPr>
              <w:t>2</w:t>
            </w:r>
          </w:p>
        </w:tc>
        <w:tc>
          <w:tcPr>
            <w:tcW w:w="2055" w:type="dxa"/>
            <w:vAlign w:val="center"/>
          </w:tcPr>
          <w:p w14:paraId="699AA0A1">
            <w:pPr>
              <w:spacing w:before="50" w:after="50"/>
              <w:jc w:val="center"/>
              <w:rPr>
                <w:rFonts w:ascii="仿宋_GB2312" w:eastAsia="仿宋_GB2312"/>
                <w:kern w:val="0"/>
                <w:sz w:val="22"/>
                <w:szCs w:val="28"/>
              </w:rPr>
            </w:pPr>
            <w:r>
              <w:rPr>
                <w:rFonts w:hint="eastAsia" w:ascii="仿宋_GB2312" w:eastAsia="仿宋_GB2312"/>
                <w:kern w:val="0"/>
                <w:sz w:val="22"/>
                <w:szCs w:val="28"/>
              </w:rPr>
              <w:t>1</w:t>
            </w:r>
          </w:p>
        </w:tc>
        <w:tc>
          <w:tcPr>
            <w:tcW w:w="2042" w:type="dxa"/>
            <w:vAlign w:val="center"/>
          </w:tcPr>
          <w:p w14:paraId="2778D1F9">
            <w:pPr>
              <w:spacing w:before="50" w:after="50"/>
              <w:jc w:val="center"/>
              <w:rPr>
                <w:rFonts w:ascii="仿宋_GB2312" w:eastAsia="仿宋_GB2312"/>
                <w:kern w:val="0"/>
                <w:sz w:val="22"/>
                <w:szCs w:val="28"/>
              </w:rPr>
            </w:pPr>
            <w:r>
              <w:rPr>
                <w:rFonts w:hint="eastAsia" w:ascii="仿宋_GB2312" w:eastAsia="仿宋_GB2312"/>
                <w:kern w:val="0"/>
                <w:sz w:val="22"/>
                <w:szCs w:val="28"/>
              </w:rPr>
              <w:t>1</w:t>
            </w:r>
          </w:p>
        </w:tc>
      </w:tr>
    </w:tbl>
    <w:p w14:paraId="284A0046">
      <w:pPr>
        <w:adjustRightInd w:val="0"/>
        <w:snapToGrid w:val="0"/>
        <w:spacing w:beforeLines="50" w:line="560" w:lineRule="exact"/>
        <w:ind w:firstLine="560" w:firstLineChars="200"/>
        <w:rPr>
          <w:rFonts w:ascii="黑体" w:hAnsi="黑体" w:eastAsia="黑体"/>
          <w:sz w:val="28"/>
          <w:szCs w:val="28"/>
        </w:rPr>
      </w:pPr>
      <w:r>
        <w:rPr>
          <w:rFonts w:ascii="黑体" w:hAnsi="黑体" w:eastAsia="黑体"/>
          <w:sz w:val="28"/>
          <w:szCs w:val="28"/>
        </w:rPr>
        <w:t>2</w:t>
      </w:r>
      <w:r>
        <w:rPr>
          <w:rFonts w:hint="eastAsia" w:ascii="黑体" w:hAnsi="黑体" w:eastAsia="黑体"/>
          <w:sz w:val="28"/>
          <w:szCs w:val="28"/>
        </w:rPr>
        <w:t xml:space="preserve"> 检验依据</w:t>
      </w:r>
    </w:p>
    <w:p w14:paraId="1E586837">
      <w:pPr>
        <w:pStyle w:val="11"/>
        <w:widowControl w:val="0"/>
        <w:adjustRightInd w:val="0"/>
        <w:snapToGrid w:val="0"/>
        <w:spacing w:beforeLines="50" w:beforeAutospacing="0" w:afterLines="50" w:afterAutospacing="0" w:line="560" w:lineRule="exact"/>
        <w:ind w:firstLine="198"/>
        <w:contextualSpacing/>
        <w:jc w:val="center"/>
        <w:rPr>
          <w:rFonts w:ascii="仿宋_GB2312" w:hAnsi="Times New Roman" w:eastAsia="仿宋_GB2312" w:cs="黑体"/>
          <w:b/>
          <w:kern w:val="2"/>
          <w:sz w:val="28"/>
          <w:szCs w:val="28"/>
        </w:rPr>
      </w:pPr>
      <w:r>
        <w:rPr>
          <w:rFonts w:hint="eastAsia" w:ascii="仿宋_GB2312" w:hAnsi="Times New Roman" w:eastAsia="仿宋_GB2312" w:cs="黑体"/>
          <w:b/>
          <w:kern w:val="2"/>
          <w:sz w:val="28"/>
          <w:szCs w:val="28"/>
        </w:rPr>
        <w:t>表2 民用天然气</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87"/>
        <w:gridCol w:w="4306"/>
        <w:gridCol w:w="3928"/>
      </w:tblGrid>
      <w:tr w14:paraId="41B4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blHeader/>
          <w:jc w:val="center"/>
        </w:trPr>
        <w:tc>
          <w:tcPr>
            <w:tcW w:w="486" w:type="pct"/>
            <w:vAlign w:val="center"/>
          </w:tcPr>
          <w:p w14:paraId="07E53DA7">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序号</w:t>
            </w:r>
          </w:p>
        </w:tc>
        <w:tc>
          <w:tcPr>
            <w:tcW w:w="2360" w:type="pct"/>
            <w:vAlign w:val="center"/>
          </w:tcPr>
          <w:p w14:paraId="12200168">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检验项目</w:t>
            </w:r>
          </w:p>
        </w:tc>
        <w:tc>
          <w:tcPr>
            <w:tcW w:w="2153" w:type="pct"/>
            <w:vAlign w:val="center"/>
          </w:tcPr>
          <w:p w14:paraId="2A700172">
            <w:pPr>
              <w:adjustRightInd w:val="0"/>
              <w:snapToGrid w:val="0"/>
              <w:spacing w:before="50" w:after="50"/>
              <w:jc w:val="center"/>
              <w:rPr>
                <w:rFonts w:ascii="仿宋_GB2312" w:eastAsia="仿宋_GB2312"/>
                <w:sz w:val="22"/>
                <w:szCs w:val="22"/>
              </w:rPr>
            </w:pPr>
            <w:r>
              <w:rPr>
                <w:rFonts w:hint="eastAsia" w:ascii="仿宋_GB2312" w:eastAsia="仿宋_GB2312"/>
                <w:sz w:val="22"/>
                <w:szCs w:val="22"/>
              </w:rPr>
              <w:t>检验方法</w:t>
            </w:r>
          </w:p>
        </w:tc>
      </w:tr>
      <w:tr w14:paraId="364D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6" w:type="pct"/>
            <w:vAlign w:val="center"/>
          </w:tcPr>
          <w:p w14:paraId="5B1EC448">
            <w:pPr>
              <w:pStyle w:val="31"/>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1</w:t>
            </w:r>
          </w:p>
        </w:tc>
        <w:tc>
          <w:tcPr>
            <w:tcW w:w="2360" w:type="pct"/>
            <w:vAlign w:val="center"/>
          </w:tcPr>
          <w:p w14:paraId="1C4C16A3">
            <w:pPr>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高位发热量</w:t>
            </w:r>
          </w:p>
        </w:tc>
        <w:tc>
          <w:tcPr>
            <w:tcW w:w="2153" w:type="pct"/>
          </w:tcPr>
          <w:p w14:paraId="49DC336B">
            <w:pPr>
              <w:pStyle w:val="5"/>
              <w:adjustRightInd w:val="0"/>
              <w:snapToGrid w:val="0"/>
              <w:spacing w:before="50" w:after="50"/>
              <w:jc w:val="center"/>
              <w:rPr>
                <w:rFonts w:ascii="仿宋_GB2312" w:hAnsi="Times New Roman" w:eastAsia="仿宋_GB2312" w:cs="仿宋_GB2312"/>
                <w:kern w:val="2"/>
                <w:sz w:val="22"/>
                <w:szCs w:val="22"/>
              </w:rPr>
            </w:pPr>
            <w:r>
              <w:rPr>
                <w:rFonts w:ascii="仿宋_GB2312" w:hAnsi="Times New Roman" w:eastAsia="仿宋_GB2312" w:cs="仿宋_GB2312"/>
                <w:kern w:val="2"/>
                <w:sz w:val="22"/>
                <w:szCs w:val="22"/>
              </w:rPr>
              <w:t>GB/T11062</w:t>
            </w:r>
            <w:r>
              <w:rPr>
                <w:rFonts w:hint="eastAsia" w:ascii="仿宋_GB2312" w:hAnsi="Times New Roman" w:eastAsia="仿宋_GB2312" w:cs="仿宋_GB2312"/>
                <w:kern w:val="2"/>
                <w:sz w:val="22"/>
                <w:szCs w:val="22"/>
              </w:rPr>
              <w:t>-2020</w:t>
            </w:r>
          </w:p>
          <w:p w14:paraId="58F4915E">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GB/T13610-2020</w:t>
            </w:r>
          </w:p>
        </w:tc>
      </w:tr>
      <w:tr w14:paraId="6DF3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jc w:val="center"/>
        </w:trPr>
        <w:tc>
          <w:tcPr>
            <w:tcW w:w="486" w:type="pct"/>
            <w:vAlign w:val="center"/>
          </w:tcPr>
          <w:p w14:paraId="46B93AD8">
            <w:pPr>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2</w:t>
            </w:r>
          </w:p>
        </w:tc>
        <w:tc>
          <w:tcPr>
            <w:tcW w:w="2360" w:type="pct"/>
            <w:vAlign w:val="center"/>
          </w:tcPr>
          <w:p w14:paraId="55950576">
            <w:pPr>
              <w:adjustRightInd w:val="0"/>
              <w:snapToGrid w:val="0"/>
              <w:spacing w:before="50" w:after="50"/>
              <w:jc w:val="center"/>
              <w:rPr>
                <w:rFonts w:ascii="仿宋_GB2312" w:eastAsia="仿宋_GB2312" w:cs="仿宋_GB2312"/>
                <w:sz w:val="22"/>
                <w:szCs w:val="22"/>
              </w:rPr>
            </w:pPr>
            <w:r>
              <w:rPr>
                <w:rFonts w:hint="eastAsia" w:ascii="仿宋_GB2312" w:eastAsia="仿宋_GB2312" w:cs="仿宋_GB2312"/>
                <w:sz w:val="22"/>
                <w:szCs w:val="22"/>
              </w:rPr>
              <w:t>二氧化碳摩尔分数</w:t>
            </w:r>
          </w:p>
        </w:tc>
        <w:tc>
          <w:tcPr>
            <w:tcW w:w="2153" w:type="pct"/>
          </w:tcPr>
          <w:p w14:paraId="7BA896EA">
            <w:pPr>
              <w:pStyle w:val="5"/>
              <w:adjustRightInd w:val="0"/>
              <w:snapToGrid w:val="0"/>
              <w:spacing w:before="50" w:after="50"/>
              <w:jc w:val="center"/>
              <w:rPr>
                <w:rFonts w:ascii="仿宋_GB2312" w:hAnsi="Times New Roman" w:eastAsia="仿宋_GB2312" w:cs="仿宋_GB2312"/>
                <w:kern w:val="2"/>
                <w:sz w:val="22"/>
                <w:szCs w:val="22"/>
              </w:rPr>
            </w:pPr>
            <w:r>
              <w:rPr>
                <w:rFonts w:hint="eastAsia" w:ascii="仿宋_GB2312" w:hAnsi="Times New Roman" w:eastAsia="仿宋_GB2312" w:cs="仿宋_GB2312"/>
                <w:kern w:val="2"/>
                <w:sz w:val="22"/>
                <w:szCs w:val="22"/>
              </w:rPr>
              <w:t>GB/T13610-2020</w:t>
            </w:r>
          </w:p>
        </w:tc>
      </w:tr>
    </w:tbl>
    <w:p w14:paraId="1F259C11">
      <w:pPr>
        <w:adjustRightInd w:val="0"/>
        <w:snapToGrid w:val="0"/>
        <w:spacing w:before="50" w:after="50" w:line="520" w:lineRule="exact"/>
        <w:ind w:firstLine="560" w:firstLineChars="200"/>
        <w:rPr>
          <w:rFonts w:ascii="仿宋_GB2312" w:eastAsia="仿宋_GB2312"/>
          <w:sz w:val="28"/>
          <w:szCs w:val="28"/>
        </w:rPr>
      </w:pPr>
      <w:r>
        <w:rPr>
          <w:rFonts w:hint="eastAsia" w:ascii="仿宋_GB2312" w:eastAsia="仿宋_GB2312"/>
          <w:sz w:val="28"/>
          <w:szCs w:val="28"/>
        </w:rPr>
        <w:t>执行企业标准、团体标准、地方标准的产品，检验项目参照上述内容执行。</w:t>
      </w:r>
    </w:p>
    <w:p w14:paraId="436CAA72">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凡是注日期的文件，其随后所有的修改单（不包括勘误的内容）或修订版不适用于本细则。凡是不注日期的文件，其最新版本适用于本细则。</w:t>
      </w:r>
    </w:p>
    <w:p w14:paraId="7FB5782E">
      <w:pPr>
        <w:adjustRightInd w:val="0"/>
        <w:snapToGrid w:val="0"/>
        <w:spacing w:line="520" w:lineRule="exact"/>
        <w:ind w:firstLine="560" w:firstLineChars="200"/>
        <w:rPr>
          <w:rFonts w:ascii="黑体" w:hAnsi="黑体" w:eastAsia="黑体"/>
          <w:sz w:val="28"/>
          <w:szCs w:val="28"/>
        </w:rPr>
      </w:pPr>
      <w:r>
        <w:rPr>
          <w:rFonts w:ascii="黑体" w:hAnsi="黑体" w:eastAsia="黑体"/>
          <w:sz w:val="28"/>
          <w:szCs w:val="28"/>
        </w:rPr>
        <w:t>3</w:t>
      </w:r>
      <w:r>
        <w:rPr>
          <w:rFonts w:hint="eastAsia" w:ascii="黑体" w:hAnsi="黑体" w:eastAsia="黑体"/>
          <w:sz w:val="28"/>
          <w:szCs w:val="28"/>
        </w:rPr>
        <w:t xml:space="preserve"> 判定规则</w:t>
      </w:r>
    </w:p>
    <w:p w14:paraId="5ABB4CCC">
      <w:pPr>
        <w:adjustRightInd w:val="0"/>
        <w:snapToGrid w:val="0"/>
        <w:spacing w:line="520" w:lineRule="exact"/>
        <w:ind w:firstLine="562" w:firstLineChars="200"/>
        <w:rPr>
          <w:rFonts w:ascii="楷体_GB2312" w:hAnsi="楷体_GB2312" w:eastAsia="楷体_GB2312" w:cs="楷体_GB2312"/>
          <w:b/>
          <w:sz w:val="28"/>
          <w:szCs w:val="28"/>
        </w:rPr>
      </w:pPr>
      <w:r>
        <w:rPr>
          <w:rFonts w:hint="eastAsia" w:ascii="楷体_GB2312" w:hAnsi="楷体_GB2312" w:eastAsia="楷体_GB2312" w:cs="楷体_GB2312"/>
          <w:b/>
          <w:sz w:val="28"/>
          <w:szCs w:val="28"/>
        </w:rPr>
        <w:t>3.1依据标准</w:t>
      </w:r>
    </w:p>
    <w:p w14:paraId="799384B5">
      <w:pPr>
        <w:adjustRightInd w:val="0"/>
        <w:snapToGrid w:val="0"/>
        <w:spacing w:line="520" w:lineRule="exact"/>
        <w:ind w:firstLine="560" w:firstLineChars="200"/>
        <w:rPr>
          <w:rFonts w:ascii="仿宋_GB2312" w:eastAsia="仿宋_GB2312" w:cs="宋体"/>
          <w:sz w:val="28"/>
          <w:szCs w:val="28"/>
        </w:rPr>
      </w:pPr>
      <w:r>
        <w:rPr>
          <w:rFonts w:hint="eastAsia" w:ascii="仿宋_GB2312" w:eastAsia="仿宋_GB2312" w:cs="宋体"/>
          <w:sz w:val="28"/>
          <w:szCs w:val="28"/>
        </w:rPr>
        <w:t>GB17820-2018  天然气</w:t>
      </w:r>
    </w:p>
    <w:p w14:paraId="044643D6">
      <w:pPr>
        <w:adjustRightInd w:val="0"/>
        <w:snapToGrid w:val="0"/>
        <w:spacing w:line="520" w:lineRule="exact"/>
        <w:ind w:firstLine="560" w:firstLineChars="200"/>
        <w:rPr>
          <w:rFonts w:ascii="仿宋_GB2312" w:eastAsia="仿宋_GB2312"/>
          <w:sz w:val="28"/>
          <w:szCs w:val="28"/>
        </w:rPr>
      </w:pPr>
      <w:r>
        <w:rPr>
          <w:rFonts w:hint="eastAsia" w:ascii="仿宋_GB2312" w:eastAsia="仿宋_GB2312"/>
          <w:sz w:val="28"/>
          <w:szCs w:val="28"/>
        </w:rPr>
        <w:t>现行有效的企业标准、团体标准、地方标准及产品明示质量要求。</w:t>
      </w:r>
    </w:p>
    <w:p w14:paraId="6392544E">
      <w:pPr>
        <w:adjustRightInd w:val="0"/>
        <w:snapToGrid w:val="0"/>
        <w:spacing w:line="520" w:lineRule="exact"/>
        <w:ind w:firstLine="562" w:firstLineChars="200"/>
        <w:rPr>
          <w:rFonts w:ascii="楷体_GB2312" w:hAnsi="楷体_GB2312" w:eastAsia="楷体_GB2312" w:cs="楷体_GB2312"/>
          <w:b/>
          <w:sz w:val="28"/>
          <w:szCs w:val="28"/>
        </w:rPr>
      </w:pPr>
      <w:r>
        <w:rPr>
          <w:rFonts w:hint="eastAsia" w:ascii="楷体_GB2312" w:hAnsi="楷体_GB2312" w:eastAsia="楷体_GB2312" w:cs="楷体_GB2312"/>
          <w:b/>
          <w:sz w:val="28"/>
          <w:szCs w:val="28"/>
        </w:rPr>
        <w:t>3.2判定原则</w:t>
      </w:r>
    </w:p>
    <w:p w14:paraId="12E15F85">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经检验，检验项目全部合格，判定为被抽查产品所检项目未发现不合格；检验项目中任一项或一项以上不合格，判定为被抽查产品不合格。</w:t>
      </w:r>
    </w:p>
    <w:p w14:paraId="63BC214C">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若被检产品明示的质量要求高于本细则中检验项目依据的标准要求时，应按被检产品明示的质量要求判定。</w:t>
      </w:r>
    </w:p>
    <w:p w14:paraId="0AAC1794">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若被检产品明示的质量要求低于本细则中检验项目依据的强制性标准要求时，应按照强制性标准要求判定。</w:t>
      </w:r>
    </w:p>
    <w:p w14:paraId="00921DA0">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若被检产品明示的质量要求低于或包含本细则中检验项目依据的推荐性标准要求时，应以被检产品明示的质量要求判定。</w:t>
      </w:r>
    </w:p>
    <w:p w14:paraId="4C4CDE9F">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若被检产品明示的质量要求缺少本细则中检验项目依据的强制性标准要求时，应按照强制性标准要求判定。</w:t>
      </w:r>
    </w:p>
    <w:p w14:paraId="25449A1D">
      <w:pPr>
        <w:adjustRightInd w:val="0"/>
        <w:snapToGrid w:val="0"/>
        <w:spacing w:line="520" w:lineRule="exact"/>
        <w:ind w:firstLine="557" w:firstLineChars="199"/>
        <w:rPr>
          <w:rFonts w:ascii="仿宋_GB2312" w:eastAsia="仿宋_GB2312"/>
          <w:sz w:val="28"/>
          <w:szCs w:val="28"/>
        </w:rPr>
      </w:pPr>
      <w:r>
        <w:rPr>
          <w:rFonts w:hint="eastAsia" w:ascii="仿宋_GB2312" w:eastAsia="仿宋_GB2312"/>
          <w:sz w:val="28"/>
          <w:szCs w:val="28"/>
        </w:rPr>
        <w:t>若被检产品明示的质量要求缺少本细则中检验项目依据的推荐性标准要求时，该项目不参与判定。</w:t>
      </w:r>
    </w:p>
    <w:p w14:paraId="22DF0BCD">
      <w:pPr>
        <w:adjustRightInd w:val="0"/>
        <w:snapToGrid w:val="0"/>
        <w:spacing w:line="520" w:lineRule="exact"/>
        <w:ind w:firstLine="557" w:firstLineChars="199"/>
        <w:rPr>
          <w:rFonts w:ascii="仿宋_GB2312" w:eastAsia="仿宋_GB2312"/>
          <w:sz w:val="28"/>
          <w:szCs w:val="28"/>
        </w:rPr>
      </w:pPr>
    </w:p>
    <w:sectPr>
      <w:headerReference r:id="rId3" w:type="default"/>
      <w:footerReference r:id="rId4" w:type="default"/>
      <w:footerReference r:id="rId5" w:type="even"/>
      <w:pgSz w:w="11906" w:h="16838"/>
      <w:pgMar w:top="1985" w:right="1418" w:bottom="1985" w:left="1418" w:header="851" w:footer="1191"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简体">
    <w:altName w:val="黑体"/>
    <w:panose1 w:val="02010601030101010101"/>
    <w:charset w:val="86"/>
    <w:family w:val="auto"/>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方正仿宋简体">
    <w:altName w:val="微软雅黑"/>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3F4C2">
    <w:pPr>
      <w:pStyle w:val="8"/>
      <w:ind w:right="36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path/>
          <v:fill on="f" focussize="0,0"/>
          <v:stroke on="f" weight="1.25pt" joinstyle="miter"/>
          <v:imagedata o:title=""/>
          <o:lock v:ext="edit"/>
          <v:textbox inset="0mm,0mm,0mm,0mm" style="mso-fit-shape-to-text:t;">
            <w:txbxContent>
              <w:p w14:paraId="668F9465">
                <w:pPr>
                  <w:pStyle w:val="8"/>
                  <w:ind w:right="360"/>
                </w:pP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PAGE   \* MERGEFORMAT</w:instrText>
                </w:r>
                <w:r>
                  <w:rPr>
                    <w:rFonts w:hint="eastAsia" w:ascii="黑体" w:hAnsi="黑体" w:eastAsia="黑体" w:cs="黑体"/>
                    <w:sz w:val="28"/>
                    <w:szCs w:val="28"/>
                  </w:rPr>
                  <w:fldChar w:fldCharType="separate"/>
                </w:r>
                <w:r>
                  <w:rPr>
                    <w:rFonts w:ascii="黑体" w:hAnsi="黑体" w:eastAsia="黑体" w:cs="黑体"/>
                    <w:sz w:val="28"/>
                    <w:szCs w:val="28"/>
                    <w:lang w:val="zh-CN"/>
                  </w:rPr>
                  <w:t>1</w:t>
                </w:r>
                <w:r>
                  <w:rPr>
                    <w:rFonts w:hint="eastAsia" w:ascii="黑体" w:hAnsi="黑体" w:eastAsia="黑体" w:cs="黑体"/>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41E4">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2</w:t>
    </w:r>
    <w:r>
      <w:fldChar w:fldCharType="end"/>
    </w:r>
  </w:p>
  <w:p w14:paraId="61E29BFD">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22A0E">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ocumentProtection w:enforcement="0"/>
  <w:defaultTabStop w:val="420"/>
  <w:drawingGridHorizontalSpacing w:val="105"/>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k0YTA2NDlmMTZhMGM0ZWRkM2RhZDY4Y2EyYzk2MTEifQ=="/>
  </w:docVars>
  <w:rsids>
    <w:rsidRoot w:val="00172A27"/>
    <w:rsid w:val="00005A08"/>
    <w:rsid w:val="0002518B"/>
    <w:rsid w:val="00026817"/>
    <w:rsid w:val="00051A44"/>
    <w:rsid w:val="0005503E"/>
    <w:rsid w:val="00057D13"/>
    <w:rsid w:val="00064FD2"/>
    <w:rsid w:val="00073470"/>
    <w:rsid w:val="00081CBD"/>
    <w:rsid w:val="000976DE"/>
    <w:rsid w:val="000B0D0C"/>
    <w:rsid w:val="000D54F1"/>
    <w:rsid w:val="000E386E"/>
    <w:rsid w:val="000E61DF"/>
    <w:rsid w:val="001119D4"/>
    <w:rsid w:val="00114688"/>
    <w:rsid w:val="00116DD2"/>
    <w:rsid w:val="0012218C"/>
    <w:rsid w:val="001526B5"/>
    <w:rsid w:val="00154D8E"/>
    <w:rsid w:val="00155349"/>
    <w:rsid w:val="0017196D"/>
    <w:rsid w:val="00172A27"/>
    <w:rsid w:val="001809DD"/>
    <w:rsid w:val="001927CF"/>
    <w:rsid w:val="00192A0B"/>
    <w:rsid w:val="001A2432"/>
    <w:rsid w:val="001B03F1"/>
    <w:rsid w:val="001B14F7"/>
    <w:rsid w:val="001C78EC"/>
    <w:rsid w:val="00205F3E"/>
    <w:rsid w:val="00226407"/>
    <w:rsid w:val="00232774"/>
    <w:rsid w:val="00251E60"/>
    <w:rsid w:val="002530F1"/>
    <w:rsid w:val="00253624"/>
    <w:rsid w:val="00261B5A"/>
    <w:rsid w:val="002827E9"/>
    <w:rsid w:val="002D5F41"/>
    <w:rsid w:val="002D7F8A"/>
    <w:rsid w:val="002E0D1D"/>
    <w:rsid w:val="002E46ED"/>
    <w:rsid w:val="003138F3"/>
    <w:rsid w:val="003203A3"/>
    <w:rsid w:val="00326800"/>
    <w:rsid w:val="00343AB7"/>
    <w:rsid w:val="003477E8"/>
    <w:rsid w:val="00350810"/>
    <w:rsid w:val="00363CA7"/>
    <w:rsid w:val="00366632"/>
    <w:rsid w:val="00374444"/>
    <w:rsid w:val="00395E47"/>
    <w:rsid w:val="003A610D"/>
    <w:rsid w:val="003C388C"/>
    <w:rsid w:val="003D3AC9"/>
    <w:rsid w:val="003E0A24"/>
    <w:rsid w:val="003E2920"/>
    <w:rsid w:val="003E61BF"/>
    <w:rsid w:val="004032FB"/>
    <w:rsid w:val="004253BB"/>
    <w:rsid w:val="00436453"/>
    <w:rsid w:val="00445E86"/>
    <w:rsid w:val="00445FA1"/>
    <w:rsid w:val="00474E04"/>
    <w:rsid w:val="004A57C4"/>
    <w:rsid w:val="004B39F0"/>
    <w:rsid w:val="004D0C5A"/>
    <w:rsid w:val="004D1824"/>
    <w:rsid w:val="004D7E4A"/>
    <w:rsid w:val="004E1396"/>
    <w:rsid w:val="004E4A4B"/>
    <w:rsid w:val="004F34BF"/>
    <w:rsid w:val="004F4BB6"/>
    <w:rsid w:val="005175DF"/>
    <w:rsid w:val="00550A1F"/>
    <w:rsid w:val="00563EBC"/>
    <w:rsid w:val="00574EC2"/>
    <w:rsid w:val="0058452F"/>
    <w:rsid w:val="00585B51"/>
    <w:rsid w:val="005B0777"/>
    <w:rsid w:val="006056B0"/>
    <w:rsid w:val="006407CD"/>
    <w:rsid w:val="006461E3"/>
    <w:rsid w:val="00670E6A"/>
    <w:rsid w:val="00674391"/>
    <w:rsid w:val="00675E3C"/>
    <w:rsid w:val="00677793"/>
    <w:rsid w:val="0068751B"/>
    <w:rsid w:val="006B06C5"/>
    <w:rsid w:val="006B7248"/>
    <w:rsid w:val="006C5275"/>
    <w:rsid w:val="006C7B79"/>
    <w:rsid w:val="006D4BAE"/>
    <w:rsid w:val="006E4756"/>
    <w:rsid w:val="006F0971"/>
    <w:rsid w:val="006F206B"/>
    <w:rsid w:val="006F4E18"/>
    <w:rsid w:val="0070419E"/>
    <w:rsid w:val="0071775F"/>
    <w:rsid w:val="00720AC7"/>
    <w:rsid w:val="0072334C"/>
    <w:rsid w:val="0073086B"/>
    <w:rsid w:val="00777498"/>
    <w:rsid w:val="007774A3"/>
    <w:rsid w:val="007908EB"/>
    <w:rsid w:val="007A23BB"/>
    <w:rsid w:val="007B786C"/>
    <w:rsid w:val="0083034C"/>
    <w:rsid w:val="0083758B"/>
    <w:rsid w:val="0084639C"/>
    <w:rsid w:val="00850CA2"/>
    <w:rsid w:val="00864466"/>
    <w:rsid w:val="00871B6C"/>
    <w:rsid w:val="00881D75"/>
    <w:rsid w:val="00884FF3"/>
    <w:rsid w:val="00891B88"/>
    <w:rsid w:val="00893791"/>
    <w:rsid w:val="00895BEA"/>
    <w:rsid w:val="008A2675"/>
    <w:rsid w:val="008A3497"/>
    <w:rsid w:val="008B0132"/>
    <w:rsid w:val="008D1C38"/>
    <w:rsid w:val="008E1963"/>
    <w:rsid w:val="00917A54"/>
    <w:rsid w:val="0092403A"/>
    <w:rsid w:val="00926043"/>
    <w:rsid w:val="00931C7E"/>
    <w:rsid w:val="0093230E"/>
    <w:rsid w:val="0095633A"/>
    <w:rsid w:val="009C283F"/>
    <w:rsid w:val="009C39CA"/>
    <w:rsid w:val="009D0B26"/>
    <w:rsid w:val="009F248B"/>
    <w:rsid w:val="00A37DF5"/>
    <w:rsid w:val="00A41401"/>
    <w:rsid w:val="00A43553"/>
    <w:rsid w:val="00A51BC0"/>
    <w:rsid w:val="00A572D5"/>
    <w:rsid w:val="00A63EE3"/>
    <w:rsid w:val="00A702AC"/>
    <w:rsid w:val="00A857E5"/>
    <w:rsid w:val="00AA03AE"/>
    <w:rsid w:val="00AD6005"/>
    <w:rsid w:val="00AE3E93"/>
    <w:rsid w:val="00AF0D65"/>
    <w:rsid w:val="00AF2C93"/>
    <w:rsid w:val="00B57B44"/>
    <w:rsid w:val="00B67D9F"/>
    <w:rsid w:val="00B861D4"/>
    <w:rsid w:val="00BA0EEF"/>
    <w:rsid w:val="00BC1C10"/>
    <w:rsid w:val="00BD0BF0"/>
    <w:rsid w:val="00BD5E9A"/>
    <w:rsid w:val="00BD7935"/>
    <w:rsid w:val="00BE19EB"/>
    <w:rsid w:val="00BF1F6C"/>
    <w:rsid w:val="00C1607E"/>
    <w:rsid w:val="00C20E85"/>
    <w:rsid w:val="00C25520"/>
    <w:rsid w:val="00C26074"/>
    <w:rsid w:val="00C462D6"/>
    <w:rsid w:val="00C82F09"/>
    <w:rsid w:val="00C83B0A"/>
    <w:rsid w:val="00CD7054"/>
    <w:rsid w:val="00CE1E0C"/>
    <w:rsid w:val="00CE277E"/>
    <w:rsid w:val="00D104F9"/>
    <w:rsid w:val="00D11904"/>
    <w:rsid w:val="00D5357F"/>
    <w:rsid w:val="00D56867"/>
    <w:rsid w:val="00D56AA0"/>
    <w:rsid w:val="00D637B3"/>
    <w:rsid w:val="00DA021B"/>
    <w:rsid w:val="00DA47A4"/>
    <w:rsid w:val="00DC4A5A"/>
    <w:rsid w:val="00DE6562"/>
    <w:rsid w:val="00E02A7F"/>
    <w:rsid w:val="00E07880"/>
    <w:rsid w:val="00E53E7D"/>
    <w:rsid w:val="00E604E0"/>
    <w:rsid w:val="00E77219"/>
    <w:rsid w:val="00E82621"/>
    <w:rsid w:val="00E95F8C"/>
    <w:rsid w:val="00EB128B"/>
    <w:rsid w:val="00EC0F32"/>
    <w:rsid w:val="00EC5345"/>
    <w:rsid w:val="00EE1572"/>
    <w:rsid w:val="00EE509E"/>
    <w:rsid w:val="00EF6D4B"/>
    <w:rsid w:val="00F17B69"/>
    <w:rsid w:val="00F3513C"/>
    <w:rsid w:val="00F4641B"/>
    <w:rsid w:val="00F77C9A"/>
    <w:rsid w:val="00FA1483"/>
    <w:rsid w:val="00FA796A"/>
    <w:rsid w:val="00FB576C"/>
    <w:rsid w:val="00FC01BF"/>
    <w:rsid w:val="00FD1B22"/>
    <w:rsid w:val="00FD2AA6"/>
    <w:rsid w:val="00FD347F"/>
    <w:rsid w:val="00FE3E8F"/>
    <w:rsid w:val="00FE7E8A"/>
    <w:rsid w:val="08C16C71"/>
    <w:rsid w:val="0A7B49CF"/>
    <w:rsid w:val="0AE33BE1"/>
    <w:rsid w:val="15684BAC"/>
    <w:rsid w:val="171C33AA"/>
    <w:rsid w:val="18063ABA"/>
    <w:rsid w:val="1DC9278F"/>
    <w:rsid w:val="1F656C80"/>
    <w:rsid w:val="20D63FCA"/>
    <w:rsid w:val="221B6997"/>
    <w:rsid w:val="28993424"/>
    <w:rsid w:val="290C60E4"/>
    <w:rsid w:val="2FB21A9B"/>
    <w:rsid w:val="30123D09"/>
    <w:rsid w:val="34D5CA71"/>
    <w:rsid w:val="35524965"/>
    <w:rsid w:val="36325C25"/>
    <w:rsid w:val="38BE00CE"/>
    <w:rsid w:val="3A034CCF"/>
    <w:rsid w:val="3B4065B5"/>
    <w:rsid w:val="3C933986"/>
    <w:rsid w:val="3EB70DBC"/>
    <w:rsid w:val="40AB1309"/>
    <w:rsid w:val="4108498B"/>
    <w:rsid w:val="41DD1D8D"/>
    <w:rsid w:val="46BC6E06"/>
    <w:rsid w:val="47F36CDA"/>
    <w:rsid w:val="4A0838AC"/>
    <w:rsid w:val="4ABB3E7C"/>
    <w:rsid w:val="4F306464"/>
    <w:rsid w:val="4FEF03B0"/>
    <w:rsid w:val="56407115"/>
    <w:rsid w:val="595018C1"/>
    <w:rsid w:val="59C82E25"/>
    <w:rsid w:val="59D4455F"/>
    <w:rsid w:val="5A2D0084"/>
    <w:rsid w:val="5D0367CF"/>
    <w:rsid w:val="69561139"/>
    <w:rsid w:val="6DC30613"/>
    <w:rsid w:val="723A4344"/>
    <w:rsid w:val="76CE6AB0"/>
    <w:rsid w:val="7FC736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9"/>
    <w:pPr>
      <w:keepNext/>
      <w:keepLines/>
      <w:autoSpaceDE w:val="0"/>
      <w:autoSpaceDN w:val="0"/>
      <w:adjustRightInd w:val="0"/>
      <w:spacing w:before="340" w:after="330" w:line="578" w:lineRule="auto"/>
      <w:jc w:val="left"/>
      <w:outlineLvl w:val="0"/>
    </w:pPr>
    <w:rPr>
      <w:rFonts w:ascii="宋体"/>
      <w:b/>
      <w:bCs/>
      <w:kern w:val="44"/>
      <w:sz w:val="44"/>
      <w:szCs w:val="44"/>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ody Text Indent"/>
    <w:basedOn w:val="1"/>
    <w:link w:val="18"/>
    <w:qFormat/>
    <w:uiPriority w:val="99"/>
    <w:pPr>
      <w:ind w:firstLine="600" w:firstLineChars="200"/>
    </w:pPr>
    <w:rPr>
      <w:rFonts w:eastAsia="仿宋_GB2312"/>
      <w:sz w:val="30"/>
      <w:szCs w:val="30"/>
    </w:rPr>
  </w:style>
  <w:style w:type="paragraph" w:styleId="5">
    <w:name w:val="Plain Text"/>
    <w:basedOn w:val="1"/>
    <w:link w:val="19"/>
    <w:qFormat/>
    <w:uiPriority w:val="99"/>
    <w:rPr>
      <w:rFonts w:ascii="宋体" w:hAnsi="Courier New"/>
      <w:kern w:val="0"/>
      <w:sz w:val="20"/>
      <w:szCs w:val="20"/>
    </w:rPr>
  </w:style>
  <w:style w:type="paragraph" w:styleId="6">
    <w:name w:val="Date"/>
    <w:basedOn w:val="1"/>
    <w:next w:val="1"/>
    <w:link w:val="20"/>
    <w:qFormat/>
    <w:uiPriority w:val="0"/>
    <w:rPr>
      <w:sz w:val="24"/>
      <w:szCs w:val="20"/>
    </w:rPr>
  </w:style>
  <w:style w:type="paragraph" w:styleId="7">
    <w:name w:val="Balloon Text"/>
    <w:basedOn w:val="1"/>
    <w:link w:val="21"/>
    <w:qFormat/>
    <w:uiPriority w:val="0"/>
    <w:rPr>
      <w:rFonts w:ascii="Calibri" w:hAnsi="Calibri"/>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99"/>
    <w:pPr>
      <w:spacing w:after="120"/>
      <w:ind w:left="420" w:leftChars="200"/>
    </w:pPr>
    <w:rPr>
      <w:rFonts w:ascii="Calibri" w:hAnsi="Calibri"/>
      <w:sz w:val="16"/>
      <w:szCs w:val="16"/>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3"/>
    <w:next w:val="3"/>
    <w:link w:val="25"/>
    <w:qFormat/>
    <w:uiPriority w:val="99"/>
    <w:rPr>
      <w:b/>
      <w:bCs/>
      <w:szCs w:val="21"/>
    </w:rPr>
  </w:style>
  <w:style w:type="character" w:styleId="15">
    <w:name w:val="page number"/>
    <w:basedOn w:val="14"/>
    <w:qFormat/>
    <w:uiPriority w:val="0"/>
  </w:style>
  <w:style w:type="character" w:customStyle="1" w:styleId="16">
    <w:name w:val="标题 1 Char"/>
    <w:link w:val="2"/>
    <w:qFormat/>
    <w:uiPriority w:val="99"/>
    <w:rPr>
      <w:rFonts w:ascii="宋体"/>
      <w:b/>
      <w:bCs/>
      <w:kern w:val="44"/>
      <w:sz w:val="44"/>
      <w:szCs w:val="44"/>
    </w:rPr>
  </w:style>
  <w:style w:type="character" w:customStyle="1" w:styleId="17">
    <w:name w:val="批注文字 Char"/>
    <w:link w:val="3"/>
    <w:qFormat/>
    <w:uiPriority w:val="99"/>
    <w:rPr>
      <w:kern w:val="2"/>
      <w:sz w:val="21"/>
      <w:szCs w:val="24"/>
    </w:rPr>
  </w:style>
  <w:style w:type="character" w:customStyle="1" w:styleId="18">
    <w:name w:val="正文文本缩进 Char"/>
    <w:link w:val="4"/>
    <w:qFormat/>
    <w:uiPriority w:val="99"/>
    <w:rPr>
      <w:rFonts w:eastAsia="仿宋_GB2312"/>
      <w:kern w:val="2"/>
      <w:sz w:val="30"/>
      <w:szCs w:val="30"/>
    </w:rPr>
  </w:style>
  <w:style w:type="character" w:customStyle="1" w:styleId="19">
    <w:name w:val="纯文本 Char"/>
    <w:link w:val="5"/>
    <w:qFormat/>
    <w:uiPriority w:val="99"/>
    <w:rPr>
      <w:rFonts w:ascii="宋体" w:hAnsi="Courier New" w:cs="宋体"/>
    </w:rPr>
  </w:style>
  <w:style w:type="character" w:customStyle="1" w:styleId="20">
    <w:name w:val="日期 Char"/>
    <w:link w:val="6"/>
    <w:qFormat/>
    <w:uiPriority w:val="0"/>
    <w:rPr>
      <w:kern w:val="2"/>
      <w:sz w:val="24"/>
    </w:rPr>
  </w:style>
  <w:style w:type="character" w:customStyle="1" w:styleId="21">
    <w:name w:val="批注框文本 Char"/>
    <w:link w:val="7"/>
    <w:qFormat/>
    <w:uiPriority w:val="0"/>
    <w:rPr>
      <w:rFonts w:ascii="Calibri" w:hAnsi="Calibri" w:cs="Calibri"/>
      <w:kern w:val="2"/>
      <w:sz w:val="18"/>
      <w:szCs w:val="18"/>
    </w:rPr>
  </w:style>
  <w:style w:type="character" w:customStyle="1" w:styleId="22">
    <w:name w:val="页脚 Char"/>
    <w:link w:val="8"/>
    <w:qFormat/>
    <w:uiPriority w:val="99"/>
    <w:rPr>
      <w:kern w:val="2"/>
      <w:sz w:val="18"/>
      <w:szCs w:val="18"/>
    </w:rPr>
  </w:style>
  <w:style w:type="character" w:customStyle="1" w:styleId="23">
    <w:name w:val="页眉 Char"/>
    <w:link w:val="9"/>
    <w:semiHidden/>
    <w:qFormat/>
    <w:uiPriority w:val="99"/>
    <w:rPr>
      <w:kern w:val="2"/>
      <w:sz w:val="18"/>
      <w:szCs w:val="18"/>
    </w:rPr>
  </w:style>
  <w:style w:type="character" w:customStyle="1" w:styleId="24">
    <w:name w:val="正文文本缩进 3 Char"/>
    <w:link w:val="10"/>
    <w:qFormat/>
    <w:uiPriority w:val="99"/>
    <w:rPr>
      <w:rFonts w:ascii="Calibri" w:hAnsi="Calibri" w:cs="Calibri"/>
      <w:kern w:val="2"/>
      <w:sz w:val="16"/>
      <w:szCs w:val="16"/>
    </w:rPr>
  </w:style>
  <w:style w:type="character" w:customStyle="1" w:styleId="25">
    <w:name w:val="批注主题 Char"/>
    <w:link w:val="12"/>
    <w:qFormat/>
    <w:uiPriority w:val="99"/>
    <w:rPr>
      <w:b/>
      <w:bCs/>
      <w:kern w:val="2"/>
      <w:sz w:val="21"/>
      <w:szCs w:val="21"/>
    </w:rPr>
  </w:style>
  <w:style w:type="paragraph" w:customStyle="1" w:styleId="26">
    <w:name w:val="段"/>
    <w:qFormat/>
    <w:uiPriority w:val="0"/>
    <w:pPr>
      <w:autoSpaceDE w:val="0"/>
      <w:autoSpaceDN w:val="0"/>
      <w:ind w:firstLine="420"/>
      <w:jc w:val="both"/>
    </w:pPr>
    <w:rPr>
      <w:rFonts w:ascii="Times New Roman" w:hAnsi="Times New Roman" w:eastAsia="宋体" w:cs="Times New Roman"/>
      <w:color w:val="000000"/>
      <w:lang w:val="en-US" w:eastAsia="zh-CN" w:bidi="ar-SA"/>
    </w:rPr>
  </w:style>
  <w:style w:type="paragraph" w:customStyle="1" w:styleId="27">
    <w:name w:val="二级条标题"/>
    <w:basedOn w:val="1"/>
    <w:next w:val="26"/>
    <w:qFormat/>
    <w:uiPriority w:val="0"/>
    <w:pPr>
      <w:widowControl/>
      <w:tabs>
        <w:tab w:val="left" w:pos="1680"/>
      </w:tabs>
      <w:ind w:left="1680" w:hanging="420"/>
      <w:outlineLvl w:val="3"/>
    </w:pPr>
    <w:rPr>
      <w:rFonts w:ascii="黑体" w:eastAsia="黑体"/>
      <w:kern w:val="0"/>
      <w:szCs w:val="20"/>
    </w:rPr>
  </w:style>
  <w:style w:type="paragraph" w:customStyle="1" w:styleId="28">
    <w:name w:val="列项·"/>
    <w:qFormat/>
    <w:uiPriority w:val="99"/>
    <w:pPr>
      <w:tabs>
        <w:tab w:val="left" w:pos="840"/>
      </w:tabs>
      <w:ind w:left="420"/>
      <w:jc w:val="both"/>
    </w:pPr>
    <w:rPr>
      <w:rFonts w:ascii="宋体" w:hAnsi="Times New Roman" w:eastAsia="宋体" w:cs="宋体"/>
      <w:lang w:val="en-US" w:eastAsia="zh-CN" w:bidi="ar-SA"/>
    </w:rPr>
  </w:style>
  <w:style w:type="paragraph" w:customStyle="1" w:styleId="29">
    <w:name w:val="_Style 28"/>
    <w:semiHidden/>
    <w:qFormat/>
    <w:uiPriority w:val="99"/>
    <w:rPr>
      <w:rFonts w:ascii="Times New Roman" w:hAnsi="Times New Roman" w:eastAsia="宋体" w:cs="Times New Roman"/>
      <w:kern w:val="2"/>
      <w:sz w:val="21"/>
      <w:szCs w:val="24"/>
      <w:lang w:val="en-US" w:eastAsia="zh-CN" w:bidi="ar-SA"/>
    </w:rPr>
  </w:style>
  <w:style w:type="paragraph" w:customStyle="1" w:styleId="30">
    <w:name w:val="列出段落1"/>
    <w:basedOn w:val="1"/>
    <w:qFormat/>
    <w:uiPriority w:val="99"/>
    <w:pPr>
      <w:ind w:firstLine="420" w:firstLineChars="200"/>
    </w:pPr>
    <w:rPr>
      <w:rFonts w:ascii="Calibri" w:hAnsi="Calibri"/>
      <w:szCs w:val="22"/>
    </w:rPr>
  </w:style>
  <w:style w:type="paragraph" w:customStyle="1" w:styleId="31">
    <w:name w:val="二级无标题条"/>
    <w:basedOn w:val="1"/>
    <w:qFormat/>
    <w:uiPriority w:val="0"/>
    <w:rPr>
      <w:szCs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750</Words>
  <Characters>816</Characters>
  <Lines>6</Lines>
  <Paragraphs>1</Paragraphs>
  <TotalTime>0</TotalTime>
  <ScaleCrop>false</ScaleCrop>
  <LinksUpToDate>false</LinksUpToDate>
  <CharactersWithSpaces>824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2020-06-15T16:00:00Z</dcterms:created>
  <dc:creator>Legend User</dc:creator>
  <cp:lastModifiedBy>Administrator</cp:lastModifiedBy>
  <cp:lastPrinted>2019-12-05T15:53:00Z</cp:lastPrinted>
  <dcterms:modified xsi:type="dcterms:W3CDTF">2025-05-12T06:27:21Z</dcterms:modified>
  <dc:title>××产品质量监督抽查实施细则</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B9CE4934054A4C18AAF0BEE960CD5D7A</vt:lpwstr>
  </property>
  <property fmtid="{D5CDD505-2E9C-101B-9397-08002B2CF9AE}" pid="4" name="KSOTemplateDocerSaveRecord">
    <vt:lpwstr>eyJoZGlkIjoiOGU5NjI4OWIzYTE2MGJlYzRkOTNkNGJjYWY4YWI4ZTIiLCJ1c2VySWQiOiIzMDc1ODQ2NjgifQ==</vt:lpwstr>
  </property>
</Properties>
</file>